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ИЗМЕНЕНИЯ,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КОТОРЫЕ ВНОСЯТСЯ В ПРИЛОЖЕНИЕ N 8(6) К ГОСУДАРСТВЕННОЙ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ПРОГРАММЕ РОССИЙСКОЙ ФЕДЕРАЦИИ "СОЦИАЛЬНАЯ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ПОДДЕРЖКА ГРАЖДАН"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Приложение N 8(6)</w:t>
        </w:r>
      </w:hyperlink>
      <w:r>
        <w:rPr>
          <w:rFonts w:ascii="Times New Roman" w:hAnsi="Times New Roman"/>
          <w:sz w:val="24"/>
          <w:szCs w:val="24"/>
        </w:rPr>
        <w:t xml:space="preserve"> к государственной программе Российской Федерации "Социальная поддержка граждан" изложить в следующей редакции: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N 8(6)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государственной программе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 "Социальная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граждан"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Правительства Российской Федерации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 декабря 2020 г. N 2394)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И РАСПРЕДЕЛЕНИЯ СУБСИДИЙ ИЗ ФЕДЕРАЛЬНОГО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БЮДЖЕТАМ СУБЪЕКТОВ РОССИЙСКОЙ ФЕДЕРАЦИИ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МЕРОПРИЯТИЙ, НАПРАВЛЕННЫХ НА ОКАЗАНИЕ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СОЦИАЛЬНОЙ ПОМОЩИ НА ОСНОВАНИИ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КОНТРАКТА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оказанию государственной социальной помощи на основании социального контракта гражданам, указанным в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части первой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государственной социальной помощи", в целях стимулирования их активных действий по преодолению трудной жизненной ситуации (далее соответственно - граждане, социальный контракт, субсидии).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помощи, а также с учетом иных условий, определенных Федеральным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Перечисление денежных средств гражданину при оказании государственной социальной помощи на основании социального контракта осуществляется в порядке, определяемом правовым актом субъекта Российской Федерации, на открытые гражданину в кредитной организации банковские счета.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социальному контракту, на основании которого гражданам оказывается государственная социальная помощь, в целях софинансирования расходных обязательств субъектов Российской Федерации по оказанию которой предоставляется субсидия, прилагается программа социальной адаптации, предусматривающая в соответствии с нормативными правовыми актами субъектов Российской Федерации мероприятия: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поиску работы.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 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осуществлению индивидуальной предпринимательской деятельности;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ведению личного подсобного хозяйства.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 осуществлению иных мероприятий, направленных на преодоление гражданином трудной жизненной ситуации. 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абзацем вторым части 1 статьи 12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 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Субсидии предоставляются при соблюдении следующих условий: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правового акта субъекта Российской Федерации, утверждающего перечень мероприятий, при реализации которых возникают расходные обязательства субъекта Российской Федерации, в целях софинансирования которых предоставляется субсидия, в соответствии с требованиями нормативных правовых актов Российской Федерации;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пунктом 10</w:t>
        </w:r>
      </w:hyperlink>
      <w:r>
        <w:rPr>
          <w:rFonts w:ascii="Times New Roman" w:hAnsi="Times New Roman"/>
          <w:sz w:val="24"/>
          <w:szCs w:val="24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соответственно - Правила формирования, предоставления и распределения субсидий, соглашение).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Правовым актом субъекта Российской Федерации, указанным в подпункте "а" пункта 4 настоящих Правил,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(потеря трудоспособности гражданина, потеря дееспособности гражданина, стихийные бедствия и иные основания), разработанные с учетом методических рекомендаций по оказанию государственной социальной помощи на основании социального контракта, утверждаемых Министерством труда и социальной защиты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Программа социальной адаптации разрабатывается органом социальной защиты населения субъекта Российской Федерации (далее - орган социальной защиты населения) совместно с гражданином и при необходимости со следующими органами: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органы исполнительной власти субъектов Российской Федерации, осуществляющие полномочия в области содействия занятости населения (далее - органы занятости населения), и органы местного самоуправления -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органы государственной власти субъекта Российской Федерации, уполномоченные в сфере регулирования малого и среднего предпринимательства, в сфере сельского хозяйства, а также органы занятости населения и органы местного самоуправления - по мероприятию, указанному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органы государственной власти субъекта Российской Федерации, уполномоченные в сфере сельского хозяйства, и органы местного самоуправления - по мероприятию, указанному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органы местного самоуправления - по мероприятию, указанному в подпункте "г" пункта 3 настоящих Правил.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целью реализации мероприятий, указанных в пункте 3 настоящих Правил, орган социальной защиты населения,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получении мер социальной поддержки;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направлении несовершеннолетних членов семьи гражданина в дошкольную образовательную организацию;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организации ухода за нетрудоспособными лицами.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 социальной защиты населения заключает с гражданином социальный контракт на следующий срок: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более чем на 9 месяцев -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более чем на 12 месяцев - по мероприятиям, указанным в подпунктах "б" -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более чем на 6 месяцев - по мероприятию, указанному в подпункте "г" пункта 3 настоящих Правил.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 целью реализации мероприятий, указанных в подпунктах "а" - "в" пункта 3 настоящих Правил,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социальной защиты населения при осуществлении мероприятия, указанного в подпункте "а" пункта 3 настоящих Правил,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 органах занятости населения такой возможности или в случае отсутствия оснований предоставления гражданину образовательных программ, приобретенных за счет средств органа занятости населения,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оказании государственной социальной помощи на основании социального контракта с целью оценки эффективности реализации мероприятий, указанных в пункте 3 настоящих Правил, в социальном контракте указываются следующие требования к конечному результату: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мероприятию, указанному в подпункте "а" пункта 3 настоящих Правил: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гражданином трудового договора в период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денежных доходов гражданина (семьи гражданина) по истечении срока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мероприятию, указанному в подпункте "б" пункта 3 настоящих Правил: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гражданина в качестве индивидуального предпринимателя или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денежных доходов гражданина (семьи гражданина) по истечении срока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мероприятию, указанному в подпункте "в" пункта 3 настоящих Правил: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гражданина в качестве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денежных доходов гражданина (семьи гражданина) по истечении срока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 мероприятию, указанному в подпункте "г" пункта 3 настоящих Правил, 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Органом социальной защиты населения осуществляется ежемесячный контроль за выполнением гражданином обязательств, предусмотренных социальным контрактом, а также контроль за целевым использованием денежных средств, выплаченных в соответствии с условиями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Перечень причин, являющихся уважительными в случае неисполнения гражданином мероприятий программы социальной адаптации, устанавливается нормативным правовым актом субъекта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случае неисполнения (несвоевременного исполнения) гражданином мероприятий программы социальной адаптации по причинам, не являющимся уважительными в соответствии с пунктом 12 настоящих Правил, с месяца, следующего за месяцем возникновения указанного обстоятельства, орган социальной защиты населения прекращает предоставление денежной выплаты и (или) возмещение расходов.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течение 4-го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контракта, включающий в себя: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 гражданина (семьи гражданина) за 3 месяца, следующие за месяцем окончания срока действия социального контракта, которые представляет гражданин, и их сравнение со сведениями о доходах, представленных гражданином при подаче заявления на оказание государственной социальной помощи на основании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условий жизни гражданина (семьи гражданина) по окончании срока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целесообразности заключения нового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предоставляется органом социальной защиты населения в орган исполнительной власти субъекта Российской Федерации, реализующий полномочия по нормативно-правовому регулированию оказания государственной социальной помощи, в том числе на основании социального контракта, ежемесячно.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Органом социальной защиты населения проводится ежемесячный мониторинг условий жизни гражданина (семьи гражданина) в течение срока со дня окончания срока действия социального контракта, в том числе: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12 месяцев проверяется факт осуществления гражданином трудовой деятельности -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12 месяцев проверяется факт осуществления гражданином предпринимательской деятельности - по мероприятию, указанному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12 месяцев проверяется факт ведения гражданином личного подсобного хозяйства - по мероприятию, указанному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12 месяцев проверяется факт ухудшения материально-бытового состояния гражданина (семьи гражданина) - по мероприятию, указанному в подпункте "г" пункта 3 настоящих Правил.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результатам, полученным в ходе мониторинга, орган социальной защиты населения принимает решение о целесообразности заключения с гражданином нового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"а"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оказывать совместно с органами занятости населения, органами местного самоуправления и организациями в сфере труда и занятости содействие в поиске гражданином работы с последующим трудоустройством;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осуществлять ежемесячную денежную выплату гражданину, зарегистрированному в органах занятости населения в качестве безработного или ищущего работу,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возместить расходы работодателю на прохождение гражданином стажировки, по результатам которой заключен трудовой договор, в размере фактически понесенных расходов,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фонды, если указанное обязательство установлено социальным контрактом;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осуществлять ежемесячную денежную выплату гражданину в случае, предусмотренном абзацем третьим пункта 9 настоящих Правил, в период обучения, но не более 3 месяцев, в размере половины величины прожиточного минимума трудоспособного населения, установленного в субъекте Российской Федерации за II квартал года, предшествующего году заключения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"а"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встать на учет в органах занятости населения в качестве безработного или ищущего работу;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зарегистрироваться в информационно-аналитической системе Общероссийской базы вакансий "Работа в России";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осуществить поиск работы с последующим заключением трудового договора в период действия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пройти в период действия социального контракта профессиональное обучение или получить дополнительное профессиональное образование, если указанное обязательство установлено социальным контрактом;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пройти в период действия социального контракта стажировку с последующим заключением трудового договора, если указанное обязательство установлено социальным контрактом.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"б"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оказывать совместно с органами государственной власти субъекта Российской Федерации, уполномоченными в сфере регулирования малого и среднего предпринимательства, уполномоченными в сфере сельского хозяйства,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возместить гражданину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"б"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встать на учет в налоговом органе по субъекту Российской Федерации в качестве индивидуального предпринимателя или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представить в орган социальной защиты населения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приобрести в период действия социального контракта основные средства, материально-производственные запасы, принять имущественные обязательства (не более 15 процентов назначаемой выплаты), необходимые для осуществления индивидуальной предпринимательской деятельности, и представить в орган социальной защиты населения подтверждающие документы;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возвратить денежные средства, полученные в качестве государственной социальной помощи, 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"в"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оказывать совместно с органами исполнительной власти субъекта Российской Федерации, уполномоченными в сфере сельского хозяйства,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осуществлять гражданину денежную выплату с целью ведения им личного подсобного хозяйства в соответствии с условиями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"в"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встать на учет в налоговом органе по субъекту Российской Федерации в качестве налогоплательщика налога на профессиональный доход;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приобрести в период действия социального контракта необходимые для ведения личного подсобного хозяйства товары, а также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продукцию</w:t>
        </w:r>
      </w:hyperlink>
      <w:r>
        <w:rPr>
          <w:rFonts w:ascii="Times New Roman" w:hAnsi="Times New Roman"/>
          <w:sz w:val="24"/>
          <w:szCs w:val="24"/>
        </w:rPr>
        <w:t>, относимую к сельскохозяйственной продукции, утвержденную постановлением Правительства Российской Федерации от 25 июля 2006 г. N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осуществлять реализацию сельскохозяйственной продукции, произведенной и переработанной при ведении личного подсобного хозяйства.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 рамках оказания государственной социальной помощи на основании социального контракта орган социальной защиты населения по мероприятию, указанному в подпункте "г" пункта 3 настоящих Правил, обязан оказывать содействие в исполнении мероприятий программы социальной адаптации.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 рамках оказания государственной социальной помощи на основании социального контракта гражданин, с которым заключен социальный контракт по мероприятию, указанному в подпункте "г" пункта 3 настоящих Правил, обязан: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предпринять действия по выполнению мероприятий, предусмотренных социальным контрактом;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4A5BE6" w:rsidRDefault="004A5BE6" w:rsidP="00700E5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Взаимодействие органа социальной защиты населения с органами службы занятости населения,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пунктом 4 статьи 8.1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государственной социальной помощи".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Критериями отбора субъектов Российской Федерации для предоставления субсидии являются: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правового акта субъекта Российской Федерации, указанного в подпункте "а" пункта 4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заявки на предоставление субсидии на очередной финансовый год и плановый период, форма которой устанавливается Министерством труда и социальной защиты Российской Федерации;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численности получателей государственной социальной помощи на основании социального контракта, в том числе: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20 процентов общей численности получателей -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10 процентов общей численности получателей - по мероприятию, указанному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20 процентов общей численности получателей - по мероприятию, указанному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30 процентов общей численности получателей - по мероприятию, указанному в подпункте "г" пункта 3 настоящих Правил.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показатель численности получателей государственной социальной помощи на основании социального контракта (по сумме всех мероприятий) должен составлять 100 процентов общей их численности.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Субсидии предоставляются бюджету субъекта Российской Федерации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цели, указанные в пункте 1 настоящих Правил.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Размер субсидии, предоставляемой бюджету i-го субъекта Российской Федерации (S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D59">
        <w:rPr>
          <w:rFonts w:ascii="Times New Roman" w:hAnsi="Times New Roman"/>
          <w:noProof/>
          <w:position w:val="-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8.8pt;height:45.6pt;visibility:visible">
            <v:imagedata r:id="rId11" o:title=""/>
          </v:shape>
        </w:pic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VS - общий объем бюджетных ассигнований, предусмотренных в федеральном бюджете на предоставление субсидии на соответствующий финансовый год;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ir</w:t>
      </w:r>
      <w:r>
        <w:rPr>
          <w:rFonts w:ascii="Times New Roman" w:hAnsi="Times New Roman"/>
          <w:sz w:val="24"/>
          <w:szCs w:val="24"/>
        </w:rPr>
        <w:t xml:space="preserve"> - потребность i-го субъекта Российской Федерации в субсидии;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субъектов Российской Федерации, которым предоставляется субсидия.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Потребность i-го субъекта Российской Федерации в субсидии (S</w:t>
      </w:r>
      <w:r>
        <w:rPr>
          <w:rFonts w:ascii="Times New Roman" w:hAnsi="Times New Roman"/>
          <w:sz w:val="24"/>
          <w:szCs w:val="24"/>
          <w:vertAlign w:val="subscript"/>
        </w:rPr>
        <w:t>ir</w:t>
      </w:r>
      <w:r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ir</w:t>
      </w:r>
      <w:r>
        <w:rPr>
          <w:rFonts w:ascii="Times New Roman" w:hAnsi="Times New Roman"/>
          <w:sz w:val="24"/>
          <w:szCs w:val="24"/>
        </w:rPr>
        <w:t xml:space="preserve"> = (S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+ S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+ S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+ S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>) x K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- потребность i-го субъекта Российской Федерации в средствах на реализацию мероприятия, указанного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- потребность i-го субъекта Российской Федерации в средствах на реализацию мероприятия, указанного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- потребность i-го субъекта Российской Федерации в средствах на реализацию мероприятия, указанного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- потребность i-го субъекта Российской Федерации в средствах федерального бюджета на реализацию иных мероприятий, указанных в подпункте "г"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</w:rP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пунктом 13</w:t>
        </w:r>
      </w:hyperlink>
      <w:r>
        <w:rPr>
          <w:rFonts w:ascii="Times New Roman" w:hAnsi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Потребность i-го субъекта Российской Федерации в средствах на реализацию мероприятия, указанного в подпункте "а" пункта 3 настоящих Правил (S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x T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x Р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+ (N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 xml:space="preserve"> x С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>) +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(N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 xml:space="preserve"> x T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 xml:space="preserve"> x Р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>) + (N</w:t>
      </w:r>
      <w:r>
        <w:rPr>
          <w:rFonts w:ascii="Times New Roman" w:hAnsi="Times New Roman"/>
          <w:sz w:val="24"/>
          <w:szCs w:val="24"/>
          <w:vertAlign w:val="subscript"/>
        </w:rPr>
        <w:t>iст</w:t>
      </w:r>
      <w:r>
        <w:rPr>
          <w:rFonts w:ascii="Times New Roman" w:hAnsi="Times New Roman"/>
          <w:sz w:val="24"/>
          <w:szCs w:val="24"/>
        </w:rPr>
        <w:t xml:space="preserve"> x T</w:t>
      </w:r>
      <w:r>
        <w:rPr>
          <w:rFonts w:ascii="Times New Roman" w:hAnsi="Times New Roman"/>
          <w:sz w:val="24"/>
          <w:szCs w:val="24"/>
          <w:vertAlign w:val="subscript"/>
        </w:rPr>
        <w:t>iст</w:t>
      </w:r>
      <w:r>
        <w:rPr>
          <w:rFonts w:ascii="Times New Roman" w:hAnsi="Times New Roman"/>
          <w:sz w:val="24"/>
          <w:szCs w:val="24"/>
        </w:rPr>
        <w:t xml:space="preserve"> x С</w:t>
      </w:r>
      <w:r>
        <w:rPr>
          <w:rFonts w:ascii="Times New Roman" w:hAnsi="Times New Roman"/>
          <w:sz w:val="24"/>
          <w:szCs w:val="24"/>
          <w:vertAlign w:val="subscript"/>
        </w:rPr>
        <w:t>ст</w:t>
      </w:r>
      <w:r>
        <w:rPr>
          <w:rFonts w:ascii="Times New Roman" w:hAnsi="Times New Roman"/>
          <w:sz w:val="24"/>
          <w:szCs w:val="24"/>
        </w:rPr>
        <w:t>),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(не более 4 месяцев);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bscript"/>
        </w:rPr>
        <w:t>iпр</w:t>
      </w:r>
      <w:r>
        <w:rPr>
          <w:rFonts w:ascii="Times New Roman" w:hAnsi="Times New Roman"/>
          <w:sz w:val="24"/>
          <w:szCs w:val="24"/>
        </w:rP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 xml:space="preserve"> - стоимость курса обучения на одного обучающегося (не более 30000 рублей за курс обучения);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получающих ежемесячную денежную выплату, в рамках прохождения обучения или дополнительного профессионального образования при реализации социального контракта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 xml:space="preserve"> - продолжительность денежной выплаты гражданину, заключившему социальный контракт на реализацию мероприятия, указанного в подпункте "а" пункта 3 настоящих Правил, в i-м субъекте Российской Федерации в рамках прохождения обучения или дополнительного профессионального образования (не более 3 месяцев);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vertAlign w:val="subscript"/>
        </w:rPr>
        <w:t>iобпр</w:t>
      </w:r>
      <w:r>
        <w:rPr>
          <w:rFonts w:ascii="Times New Roman" w:hAnsi="Times New Roman"/>
          <w:sz w:val="24"/>
          <w:szCs w:val="24"/>
        </w:rPr>
        <w:t xml:space="preserve"> - размер денежной выплаты гражданину, заключившему социальный контракт на реализацию мероприятия, указанного в подпункте "а" пункта 3 настоящих Правил, в рамках прохождения обучения или дополнительного профессионального образования, равный половине величины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iст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прошедших стажировку в рамках реализации социального контракта по мероприятию, указанному в подпункте "а"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iст</w:t>
      </w:r>
      <w:r>
        <w:rPr>
          <w:rFonts w:ascii="Times New Roman" w:hAnsi="Times New Roman"/>
          <w:sz w:val="24"/>
          <w:szCs w:val="24"/>
        </w:rPr>
        <w:t xml:space="preserve"> - количество месяцев прохождения стажировки (не более 3 месяцев);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ст</w:t>
      </w:r>
      <w:r>
        <w:rPr>
          <w:rFonts w:ascii="Times New Roman" w:hAnsi="Times New Roman"/>
          <w:sz w:val="24"/>
          <w:szCs w:val="24"/>
        </w:rPr>
        <w:t xml:space="preserve"> - средний размер возмещения работодателю расходов на проведение стажировки в размере, не превышающем величину минимального размера оплаты труда с учетом размера страховых взносов, подлежащих уплате в государственные внебюджетные фонды.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Потребность i-го субъекта Российской Федерации в средствах на реализацию мероприятия, указанного в подпункте "б" пункта 3 настоящих Правил (S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x EV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+ N</w:t>
      </w:r>
      <w:r>
        <w:rPr>
          <w:rFonts w:ascii="Times New Roman" w:hAnsi="Times New Roman"/>
          <w:sz w:val="24"/>
          <w:szCs w:val="24"/>
          <w:vertAlign w:val="subscript"/>
        </w:rPr>
        <w:t>iоб1</w:t>
      </w:r>
      <w:r>
        <w:rPr>
          <w:rFonts w:ascii="Times New Roman" w:hAnsi="Times New Roman"/>
          <w:sz w:val="24"/>
          <w:szCs w:val="24"/>
        </w:rPr>
        <w:t xml:space="preserve"> x С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>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  <w:vertAlign w:val="subscript"/>
        </w:rPr>
        <w:t>iип</w:t>
      </w:r>
      <w:r>
        <w:rPr>
          <w:rFonts w:ascii="Times New Roman" w:hAnsi="Times New Roman"/>
          <w:sz w:val="24"/>
          <w:szCs w:val="24"/>
        </w:rPr>
        <w:t xml:space="preserve"> - денежная выплата гражданам i-го субъекта Российской Федерации, заключившим социальный контракт на реализацию мероприятия, указанного в подпункте "б" пункта 3 настоящих Правил, в том числе являющимся самозанятыми (единовременно не более 250000 рублей на одного предпринимателя или самозанятого гражданина для ведения предпринимательской деятельности, в том числе для закупки оборудования, создания и оснащения дополнительных рабочих мест), при условии соблюдения требований федеральных законов "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О государственной регистрации</w:t>
        </w:r>
      </w:hyperlink>
      <w:r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предпринимателей", "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О крестьянском</w:t>
        </w:r>
      </w:hyperlink>
      <w:r>
        <w:rPr>
          <w:rFonts w:ascii="Times New Roman" w:hAnsi="Times New Roman"/>
          <w:sz w:val="24"/>
          <w:szCs w:val="24"/>
        </w:rPr>
        <w:t xml:space="preserve"> (фермерском) хозяйстве" и "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</w:rPr>
          <w:t>О проведении</w:t>
        </w:r>
      </w:hyperlink>
      <w:r>
        <w:rPr>
          <w:rFonts w:ascii="Times New Roman" w:hAnsi="Times New Roman"/>
          <w:sz w:val="24"/>
          <w:szCs w:val="24"/>
        </w:rPr>
        <w:t xml:space="preserve"> эксперимента по установлению специального налогового режима "Налог на профессиональный доход";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iоб1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"б"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 xml:space="preserve"> - стоимость курса обучения на одного обучающегося (не более 30000 рублей за курс обучения).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Потребность i-го субъекта Российской Федерации в средствах на реализацию мероприятия, указанного в подпункте "в" пункта 3 настоящих Правил (S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x EV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+ N</w:t>
      </w:r>
      <w:r>
        <w:rPr>
          <w:rFonts w:ascii="Times New Roman" w:hAnsi="Times New Roman"/>
          <w:sz w:val="24"/>
          <w:szCs w:val="24"/>
          <w:vertAlign w:val="subscript"/>
        </w:rPr>
        <w:t>iоб2</w:t>
      </w:r>
      <w:r>
        <w:rPr>
          <w:rFonts w:ascii="Times New Roman" w:hAnsi="Times New Roman"/>
          <w:sz w:val="24"/>
          <w:szCs w:val="24"/>
        </w:rPr>
        <w:t xml:space="preserve"> x С</w:t>
      </w:r>
      <w:r>
        <w:rPr>
          <w:rFonts w:ascii="Times New Roman" w:hAnsi="Times New Roman"/>
          <w:sz w:val="24"/>
          <w:szCs w:val="24"/>
          <w:vertAlign w:val="subscript"/>
        </w:rPr>
        <w:t>iоб,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заключивших социальный контракт на реализацию мероприятия, указанного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  <w:vertAlign w:val="subscript"/>
        </w:rPr>
        <w:t>iлпх</w:t>
      </w:r>
      <w:r>
        <w:rPr>
          <w:rFonts w:ascii="Times New Roman" w:hAnsi="Times New Roman"/>
          <w:sz w:val="24"/>
          <w:szCs w:val="24"/>
        </w:rPr>
        <w:t xml:space="preserve"> - денежная выплата гражданам i-го субъекта Российской Федерации, заключившим социальный контракт на реализацию мероприятия, указанного в подпункте "в" пункта 3 настоящих Правил (не более 100000 рублей);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iоб2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прошедших обучение или получивших дополнительное профессиональное образование в рамках реализации социального контракта по мероприятию, указанному в подпункте "в"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iоб</w:t>
      </w:r>
      <w:r>
        <w:rPr>
          <w:rFonts w:ascii="Times New Roman" w:hAnsi="Times New Roman"/>
          <w:sz w:val="24"/>
          <w:szCs w:val="24"/>
        </w:rPr>
        <w:t xml:space="preserve"> - стоимость курса обучения на одного обучающегося (не более 30000 рублей за курс обучения).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Потребность i-го субъекта Российской Федерации в средствах федерального бюджета на реализацию иных мероприятий, указанных в подпункте "г" пункта 3 настоящих Правил (S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= N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x EV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x T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>,</w:t>
      </w: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BE6" w:rsidRDefault="004A5BE6" w:rsidP="00333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- численность граждан i-го субъекта Российской Федерации, заключивших социальный контракт, направленный на реализацию иных мероприятий, указанных в подпункте "г" пункта 3 настоящих Правил;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- размер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равный величине прожиточного минимума для трудоспособного населения, установленной в i-м субъекте Российской Федерации в соответствии с Федеральным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прожиточном минимуме в Российской Федерации" за II квартал года, предшествующего году заключения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iтжс</w:t>
      </w:r>
      <w:r>
        <w:rPr>
          <w:rFonts w:ascii="Times New Roman" w:hAnsi="Times New Roman"/>
          <w:sz w:val="24"/>
          <w:szCs w:val="24"/>
        </w:rPr>
        <w:t xml:space="preserve"> - продолжительность осуществления денежной выплаты гражданину, заключившему социальный контракт, направленный на реализацию иных мероприятий, указанных в подпункте "г" пункта 3 настоящих Правил, в i-м субъекте Российской Федерации (не более 6 месяцев).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Субсидия предоставляется на основании соглашения, подготовленного (сформированного) с использованием государственной интегрированной информационной системы управления общественными финансами "Электронный бюджет" по типовой форме соглашения, утвержденной Министерством финансов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Перечисление субсидии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представляет в Министерство труда и социальной защиты Российской Федерации сведения о ходе реализации мероприятий, направленных на оказание государственной социальной помощи на основании социального контракта, по форме и в срок, которые установлены Министерством труда и социальной защиты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(по итогам отчетного года) значений следующих результатов использования субсидий: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доля граждан, получивших государственную социальную помощь на основании социального контракта, в общей численности малоимущих граждан;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окончанию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В случае если субъектом Российской Федерации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</w:rPr>
          <w:t>подпунктом "б" пункта 10</w:t>
        </w:r>
      </w:hyperlink>
      <w:r>
        <w:rPr>
          <w:rFonts w:ascii="Times New Roman" w:hAnsi="Times New Roman"/>
          <w:sz w:val="24"/>
          <w:szCs w:val="24"/>
        </w:rPr>
        <w:t xml:space="preserve"> Правил формирования, предоставления и распределения субсидий, и если не устранены указанные нарушения до 1-й даты представления отчетности о достижении значений результатов использования субсидии, размер средств, подлежащих возврату из бюджета субъекта Российской Федерации в федеральный бюджет до 1 июня года, следующего за годом предоставления субсидии, рассчитывается в соответствии с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</w:rPr>
          <w:t>пунктами 16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>
          <w:rPr>
            <w:rFonts w:ascii="Times New Roman" w:hAnsi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Освобождение субъектов Российской Федерации от применения мер ответственности, предусмотренных пунктом 40 настоящих Правил, а также возврат средств в федеральный бюджет осуществляются в соответствии с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</w:rPr>
          <w:t>пунктом 20</w:t>
        </w:r>
      </w:hyperlink>
      <w:r>
        <w:rPr>
          <w:rFonts w:ascii="Times New Roman" w:hAnsi="Times New Roman"/>
          <w:sz w:val="24"/>
          <w:szCs w:val="24"/>
        </w:rPr>
        <w:t xml:space="preserve"> Правил формирования, предоставления и распределения субсидий.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Федерации.</w:t>
      </w:r>
    </w:p>
    <w:p w:rsidR="004A5BE6" w:rsidRDefault="004A5BE6" w:rsidP="003330C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контроля.".</w:t>
      </w:r>
    </w:p>
    <w:p w:rsidR="004A5BE6" w:rsidRDefault="004A5BE6">
      <w:bookmarkStart w:id="0" w:name="_GoBack"/>
      <w:bookmarkEnd w:id="0"/>
    </w:p>
    <w:sectPr w:rsidR="004A5BE6" w:rsidSect="001456C7">
      <w:pgSz w:w="11905" w:h="16838"/>
      <w:pgMar w:top="1134" w:right="706" w:bottom="1134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C6"/>
    <w:rsid w:val="001456C7"/>
    <w:rsid w:val="001D60D5"/>
    <w:rsid w:val="003330C6"/>
    <w:rsid w:val="004A5BE6"/>
    <w:rsid w:val="00635D29"/>
    <w:rsid w:val="00700E52"/>
    <w:rsid w:val="008240ED"/>
    <w:rsid w:val="00996367"/>
    <w:rsid w:val="00AD0976"/>
    <w:rsid w:val="00B54FEF"/>
    <w:rsid w:val="00B97AA2"/>
    <w:rsid w:val="00C43D59"/>
    <w:rsid w:val="00CD1D5A"/>
    <w:rsid w:val="00FC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97950AC0325ED88383A3E79808E56093ECF8725A4CCFF054394668239B56A20DBB75C89B740032A6A62CDC30EF2x5y5I" TargetMode="External"/><Relationship Id="rId13" Type="http://schemas.openxmlformats.org/officeDocument/2006/relationships/hyperlink" Target="consultantplus://offline/ref=A7BCE4796C62128A3B6D297950AC0325ED883A30317A808E56093ECF8725A4CCED051B98678127B16F358DE61AxDyDI" TargetMode="External"/><Relationship Id="rId18" Type="http://schemas.openxmlformats.org/officeDocument/2006/relationships/hyperlink" Target="consultantplus://offline/ref=A7BCE4796C62128A3B6D297950AC0325ED883A30317A808E56093ECF8725A4CCED051B98678127B16F358DE61AxDy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01E549D1526111A5D1CF4F4247EE38E1C49544F11EF4812F6363B203AC99E8E863584DC14D1AD21322254130A8C562878BBF0C8By8y7I" TargetMode="External"/><Relationship Id="rId7" Type="http://schemas.openxmlformats.org/officeDocument/2006/relationships/hyperlink" Target="consultantplus://offline/ref=A7BCE4796C62128A3B6D297950AC0325ED8A3F39327C808E56093ECF8725A4CCFF05439363896DE02A7E82E71BC2BA401E366A61xDy2I" TargetMode="External"/><Relationship Id="rId12" Type="http://schemas.openxmlformats.org/officeDocument/2006/relationships/hyperlink" Target="consultantplus://offline/ref=A7BCE4796C62128A3B6D297950AC0325ED88383A3E79808E56093ECF8725A4CCFF054397638532E53F6FDAEB19DFA441012A6863D1xCy0I" TargetMode="External"/><Relationship Id="rId17" Type="http://schemas.openxmlformats.org/officeDocument/2006/relationships/hyperlink" Target="consultantplus://offline/ref=A7BCE4796C62128A3B6D297950AC0325ED8A3C3D3379808E56093ECF8725A4CCED051B98678127B16F358DE61AxDy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BCE4796C62128A3B6D297950AC0325ED883A303F72808E56093ECF8725A4CCED051B98678127B16F358DE61AxDyDI" TargetMode="External"/><Relationship Id="rId20" Type="http://schemas.openxmlformats.org/officeDocument/2006/relationships/hyperlink" Target="consultantplus://offline/ref=C601E549D1526111A5D1CF4F4247EE38E1C49544F11EF4812F6363B203AC99E8E863584DC0401AD21322254130A8C562878BBF0C8By8y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CE4796C62128A3B6D297950AC0325ED8A3D303F79808E56093ECF8725A4CCED051B98678127B16F358DE61AxDyDI" TargetMode="Externa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BCE4796C62128A3B6D297950AC0325ED8A3F39327C808E56093ECF8725A4CCFF054394678432E53F6FDAEB19DFA441012A6863D1xCy0I" TargetMode="External"/><Relationship Id="rId15" Type="http://schemas.openxmlformats.org/officeDocument/2006/relationships/hyperlink" Target="consultantplus://offline/ref=A7BCE4796C62128A3B6D297950AC0325ED8A3F31327F808E56093ECF8725A4CCED051B98678127B16F358DE61AxDy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BCE4796C62128A3B6D297950AC0325ED8A3F39327C808E56093ECF8725A4CCFF0543946E8132E53F6FDAEB19DFA441012A6863D1xCy0I" TargetMode="External"/><Relationship Id="rId19" Type="http://schemas.openxmlformats.org/officeDocument/2006/relationships/hyperlink" Target="consultantplus://offline/ref=C601E549D1526111A5D1CF4F4247EE38E1C49544F11EF4812F6363B203AC99E8E863584DC54F1AD21322254130A8C562878BBF0C8By8y7I" TargetMode="External"/><Relationship Id="rId4" Type="http://schemas.openxmlformats.org/officeDocument/2006/relationships/hyperlink" Target="consultantplus://offline/ref=A7BCE4796C62128A3B6D297950AC0325ED893D3E307E808E56093ECF8725A4CCFF05439C638A3FB2657FDEA24DD1BB421E346B7DD1C10CxFy1I" TargetMode="External"/><Relationship Id="rId9" Type="http://schemas.openxmlformats.org/officeDocument/2006/relationships/hyperlink" Target="consultantplus://offline/ref=A7BCE4796C62128A3B6D297950AC0325ED893F3F3F78808E56093ECF8725A4CCFF05439466823BB26720DBB75C89B740032A6A62CDC30EF2x5y5I" TargetMode="External"/><Relationship Id="rId14" Type="http://schemas.openxmlformats.org/officeDocument/2006/relationships/hyperlink" Target="consultantplus://offline/ref=A7BCE4796C62128A3B6D297950AC0325ED883A30317A808E56093ECF8725A4CCED051B98678127B16F358DE61AxDyDI" TargetMode="External"/><Relationship Id="rId22" Type="http://schemas.openxmlformats.org/officeDocument/2006/relationships/hyperlink" Target="consultantplus://offline/ref=C601E549D1526111A5D1CF4F4247EE38E1C49544F11EF4812F6363B203AC99E8E863584ECE401AD21322254130A8C562878BBF0C8By8y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5710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subject/>
  <dc:creator>Пользователь Windows</dc:creator>
  <cp:keywords/>
  <dc:description/>
  <cp:lastModifiedBy>12</cp:lastModifiedBy>
  <cp:revision>2</cp:revision>
  <dcterms:created xsi:type="dcterms:W3CDTF">2021-02-02T05:56:00Z</dcterms:created>
  <dcterms:modified xsi:type="dcterms:W3CDTF">2021-02-02T05:56:00Z</dcterms:modified>
</cp:coreProperties>
</file>